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Spec="center" w:tblpY="-823"/>
        <w:tblW w:w="1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4"/>
        <w:gridCol w:w="284"/>
        <w:gridCol w:w="7401"/>
      </w:tblGrid>
      <w:tr w:rsidR="00B5570F" w:rsidTr="00B5570F">
        <w:trPr>
          <w:cantSplit/>
          <w:trHeight w:val="9776"/>
        </w:trPr>
        <w:tc>
          <w:tcPr>
            <w:tcW w:w="851" w:type="dxa"/>
            <w:textDirection w:val="btLr"/>
            <w:tcFitText/>
            <w:vAlign w:val="center"/>
            <w:hideMark/>
          </w:tcPr>
          <w:p w:rsidR="00B5570F" w:rsidRDefault="00B5570F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6944" w:type="dxa"/>
            <w:hideMark/>
          </w:tcPr>
          <w:p w:rsidR="00B5570F" w:rsidRPr="00B5570F" w:rsidRDefault="00B5570F">
            <w:pPr>
              <w:pStyle w:val="Normlnweb"/>
              <w:spacing w:before="12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u w:val="single"/>
                <w:lang w:eastAsia="en-US"/>
              </w:rPr>
            </w:pPr>
            <w:r w:rsidRPr="00B5570F">
              <w:rPr>
                <w:rFonts w:asciiTheme="minorHAnsi" w:hAnsiTheme="minorHAnsi"/>
                <w:b/>
                <w:caps/>
                <w:sz w:val="34"/>
                <w:szCs w:val="34"/>
                <w:u w:val="single"/>
                <w:lang w:eastAsia="en-US"/>
              </w:rPr>
              <w:t>doporučení pro domácí KARANTÉNU</w:t>
            </w:r>
          </w:p>
          <w:p w:rsidR="00B5570F" w:rsidRDefault="00B5570F" w:rsidP="00F0297E">
            <w:pPr>
              <w:pStyle w:val="Normlnweb"/>
              <w:numPr>
                <w:ilvl w:val="0"/>
                <w:numId w:val="1"/>
              </w:numPr>
              <w:spacing w:before="120" w:beforeAutospacing="0" w:after="0" w:afterAutospacing="0"/>
              <w:rPr>
                <w:rStyle w:val="Siln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Siln"/>
                <w:rFonts w:asciiTheme="minorHAnsi" w:hAnsiTheme="minorHAnsi" w:cstheme="minorHAnsi"/>
                <w:sz w:val="22"/>
                <w:szCs w:val="22"/>
                <w:lang w:eastAsia="en-US"/>
              </w:rPr>
              <w:t>Zůstaňte doma</w:t>
            </w:r>
          </w:p>
          <w:p w:rsidR="00B5570F" w:rsidRDefault="00B5570F">
            <w:pPr>
              <w:pStyle w:val="Normlnweb"/>
              <w:spacing w:before="120" w:beforeAutospacing="0"/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Jestliže potřebujete obstarat nákup potravin, jiného zboží a léků, musíte požádat o pomoc jinou osobu. Také si můžete nákup objednat telefonicky nebo mailem (online).  V instrukcích pro dodání zboží musí být uvedeno, že nákup má být ponechán venku nebo na verandě nebo na jiném vhodném místě. Nezvěte si návštěvy!</w:t>
            </w:r>
          </w:p>
          <w:p w:rsidR="00B5570F" w:rsidRDefault="00B5570F" w:rsidP="00F0297E">
            <w:pPr>
              <w:pStyle w:val="Normln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rStyle w:val="Siln"/>
              </w:rPr>
            </w:pPr>
            <w:r>
              <w:rPr>
                <w:rStyle w:val="Siln"/>
                <w:rFonts w:asciiTheme="minorHAnsi" w:hAnsiTheme="minorHAnsi" w:cstheme="minorHAnsi"/>
                <w:sz w:val="22"/>
                <w:szCs w:val="22"/>
                <w:lang w:eastAsia="en-US"/>
              </w:rPr>
              <w:t>Izolujte se od ostatních osob ve vaší domácnosti</w:t>
            </w:r>
          </w:p>
          <w:p w:rsidR="00B5570F" w:rsidRDefault="00B5570F">
            <w:pPr>
              <w:pStyle w:val="Normlnweb"/>
              <w:spacing w:before="120" w:beforeAutospacing="0"/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Měli byste zůstat v dobře větratelné místnosti s oknem, které se dá otevírat a pokud to lze, měli byste být separováni od ostatních osob v domácnosti. Pokud je to možné, používejte oddělenou koupelnu. Pokud sdílíte koupelnu s ostatními osobami, je nutné používat koupelnu jako poslední a poté koupelnu řádně uklidit. Osoba v domácí izolaci musí používat vlastní ručníky, které nepoužívají další členové domácnosti. Pokud sdílíte společnou kuchyni, a společenské prostory, měli byste vycházet jen v nezbytných případech a nosit ústní roušku. Jídlo jezte ve svém pokoji. Použité nádobí myjte ručně v horké vodě s čisticím prostředkem a osušte vlastní utěrkou.</w:t>
            </w:r>
          </w:p>
          <w:p w:rsidR="00B5570F" w:rsidRDefault="00B5570F" w:rsidP="00F0297E">
            <w:pPr>
              <w:pStyle w:val="Normln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rStyle w:val="Siln"/>
              </w:rPr>
            </w:pPr>
            <w:r>
              <w:rPr>
                <w:rStyle w:val="Siln"/>
                <w:rFonts w:asciiTheme="minorHAnsi" w:hAnsiTheme="minorHAnsi" w:cstheme="minorHAnsi"/>
                <w:sz w:val="22"/>
                <w:szCs w:val="22"/>
                <w:lang w:eastAsia="en-US"/>
              </w:rPr>
              <w:t>Než navštívíte svého lékaře, nejdříve mu zavolejte </w:t>
            </w:r>
          </w:p>
          <w:p w:rsidR="00B5570F" w:rsidRDefault="00B5570F">
            <w:pPr>
              <w:rPr>
                <w:rStyle w:val="Siln"/>
                <w:rFonts w:cs="Arial"/>
                <w:sz w:val="34"/>
                <w:szCs w:val="34"/>
              </w:rPr>
            </w:pPr>
            <w:r>
              <w:rPr>
                <w:rFonts w:cs="Arial"/>
                <w:color w:val="000000"/>
              </w:rPr>
              <w:t xml:space="preserve">V případě že se zhorší váš zdravotní stav (objeví se zejména horečka, kašel, dušnost, případně ztráta čichu nebo chuti), kontaktujte telefonicky svého lékaře, který bude dále organizovat </w:t>
            </w:r>
            <w:proofErr w:type="gramStart"/>
            <w:r>
              <w:rPr>
                <w:rFonts w:cs="Arial"/>
                <w:color w:val="000000"/>
              </w:rPr>
              <w:t>poskytovaní</w:t>
            </w:r>
            <w:proofErr w:type="gramEnd"/>
            <w:r>
              <w:rPr>
                <w:rFonts w:cs="Arial"/>
                <w:color w:val="000000"/>
              </w:rPr>
              <w:t xml:space="preserve"> zdravotní péče ve spolupráci krajskou hygienickou stanicí, případně volejte linku </w:t>
            </w:r>
            <w:r>
              <w:rPr>
                <w:rStyle w:val="Siln"/>
                <w:rFonts w:cs="Arial"/>
                <w:color w:val="000000"/>
              </w:rPr>
              <w:t>112.</w:t>
            </w:r>
          </w:p>
          <w:p w:rsidR="00B5570F" w:rsidRDefault="00B5570F">
            <w:pPr>
              <w:pStyle w:val="Normlnweb"/>
              <w:spacing w:before="120" w:beforeAutospacing="0" w:after="0" w:afterAutospacing="0"/>
              <w:jc w:val="both"/>
              <w:rPr>
                <w:rStyle w:val="Siln"/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Style w:val="Siln"/>
                <w:rFonts w:asciiTheme="minorHAnsi" w:hAnsiTheme="minorHAnsi" w:cs="Arial"/>
                <w:sz w:val="28"/>
                <w:szCs w:val="28"/>
                <w:lang w:eastAsia="en-US"/>
              </w:rPr>
              <w:t>Celostátní informační linka je dostupná na čísle 1221 a je k dispozici v pracovních dnech od 8 do 19 hodin a o víkendu od 9 do 16.30 hodin.</w:t>
            </w:r>
          </w:p>
          <w:p w:rsidR="00B5570F" w:rsidRDefault="00B5570F" w:rsidP="00F0297E">
            <w:pPr>
              <w:pStyle w:val="Normln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rStyle w:val="Siln"/>
                <w:rFonts w:asciiTheme="minorHAnsi" w:hAnsiTheme="minorHAnsi"/>
                <w:lang w:eastAsia="en-US"/>
              </w:rPr>
            </w:pPr>
            <w:r>
              <w:rPr>
                <w:rStyle w:val="Siln"/>
                <w:rFonts w:asciiTheme="minorHAnsi" w:hAnsiTheme="minorHAnsi" w:cstheme="minorHAnsi"/>
                <w:sz w:val="22"/>
                <w:szCs w:val="22"/>
                <w:lang w:eastAsia="en-US"/>
              </w:rPr>
              <w:t>Noste ústní roušku a pečujte o ni dle pokynů</w:t>
            </w:r>
            <w:r>
              <w:rPr>
                <w:rStyle w:val="Siln"/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>
              <w:rPr>
                <w:rStyle w:val="Siln"/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</w:t>
            </w:r>
          </w:p>
          <w:p w:rsidR="00B5570F" w:rsidRDefault="00B5570F">
            <w:pPr>
              <w:pStyle w:val="Normlnweb"/>
              <w:spacing w:before="120" w:beforeAutospacing="0"/>
              <w:jc w:val="both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Siln"/>
                <w:rFonts w:asciiTheme="minorHAnsi" w:hAnsiTheme="minorHAnsi" w:cstheme="minorHAnsi"/>
                <w:sz w:val="22"/>
                <w:szCs w:val="22"/>
                <w:lang w:eastAsia="en-US"/>
              </w:rPr>
              <w:t>Rouška látková je maximálně na 1den, prát alespoň na 60°C, usušit a pak napařovací žehličkou přežehlit. Jednorázová rouška je jen na 2hodiny!</w:t>
            </w:r>
          </w:p>
          <w:p w:rsidR="00B5570F" w:rsidRDefault="00B5570F" w:rsidP="00F0297E">
            <w:pPr>
              <w:pStyle w:val="Normln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rStyle w:val="Siln"/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Siln"/>
                <w:rFonts w:asciiTheme="minorHAnsi" w:hAnsiTheme="minorHAnsi" w:cstheme="minorHAnsi"/>
                <w:sz w:val="22"/>
                <w:szCs w:val="22"/>
                <w:lang w:eastAsia="en-US"/>
              </w:rPr>
              <w:t>Kryjte si ústa a nos při kašli a kýchán</w:t>
            </w:r>
          </w:p>
          <w:p w:rsidR="00B5570F" w:rsidRDefault="00B5570F">
            <w:pPr>
              <w:pStyle w:val="Normlnweb"/>
              <w:spacing w:before="120" w:beforeAutospacing="0" w:after="0" w:afterAutospacing="0"/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Používejte jednorázové kapesníky, odhazujte do plastového pytle na odpadky a okamžitě po jejich použití si umyjte ruce mýdlem a vodou.</w:t>
            </w:r>
          </w:p>
        </w:tc>
        <w:tc>
          <w:tcPr>
            <w:tcW w:w="284" w:type="dxa"/>
          </w:tcPr>
          <w:p w:rsidR="00B5570F" w:rsidRDefault="00B5570F">
            <w:pPr>
              <w:pStyle w:val="Nadpis1"/>
              <w:spacing w:before="120"/>
              <w:outlineLvl w:val="0"/>
              <w:rPr>
                <w:rFonts w:asciiTheme="minorHAnsi" w:hAnsiTheme="minorHAnsi"/>
                <w:noProof/>
              </w:rPr>
            </w:pPr>
          </w:p>
        </w:tc>
        <w:tc>
          <w:tcPr>
            <w:tcW w:w="7401" w:type="dxa"/>
          </w:tcPr>
          <w:p w:rsidR="00B5570F" w:rsidRDefault="00B5570F">
            <w:pPr>
              <w:pStyle w:val="Nadpis1"/>
              <w:spacing w:before="12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5570F" w:rsidRDefault="00B5570F">
            <w:pPr>
              <w:pStyle w:val="Nadpis1"/>
              <w:spacing w:before="120"/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5570F" w:rsidRDefault="00B5570F">
            <w:pPr>
              <w:pStyle w:val="Nadpis1"/>
              <w:spacing w:before="120"/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      Myjte si ruce</w:t>
            </w:r>
          </w:p>
          <w:p w:rsidR="00B5570F" w:rsidRDefault="00B5570F">
            <w:pPr>
              <w:pStyle w:val="Nadpis1"/>
              <w:spacing w:before="120" w:after="100" w:afterAutospacing="1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Myjte si ruce a osobě, o kterou pečujete, pomáhejte při mytí rukou. To by se mělo provádět často a důkladně mýdlem a vodou po dobu nejméně 20 sekund, poté si ruce opláchněte a důkladně osušte. </w:t>
            </w:r>
          </w:p>
          <w:p w:rsidR="00B5570F" w:rsidRDefault="00B5570F">
            <w:pPr>
              <w:pStyle w:val="Nadpis1"/>
              <w:spacing w:before="120"/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7.   Domácí zvířata</w:t>
            </w:r>
          </w:p>
          <w:p w:rsidR="00B5570F" w:rsidRDefault="00B5570F">
            <w:pPr>
              <w:pStyle w:val="Nadpis1"/>
              <w:spacing w:before="120" w:after="100" w:afterAutospacing="1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Snažte se držet dál od svých domácích mazlíčků. Pokud je to nevyhnutelné, myjte si ruce před a po kontaktu s nimi.</w:t>
            </w:r>
          </w:p>
          <w:p w:rsidR="00B5570F" w:rsidRDefault="00B5570F">
            <w:pPr>
              <w:pStyle w:val="Nadpis1"/>
              <w:spacing w:before="120"/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   Praní prádla</w:t>
            </w:r>
          </w:p>
          <w:p w:rsidR="00B5570F" w:rsidRDefault="00B5570F">
            <w:pPr>
              <w:pStyle w:val="Nadpis1"/>
              <w:spacing w:before="120" w:after="100" w:afterAutospacing="1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Pokud je to možné, vhodné teploty pro praní jsou nad 60 °C. Při manipulaci se znečištěnými materiály používejte jednorázové rukavice a plastovou zástěru a očistěte všechny povrchy v okolí pračky. Po manipulaci se špinavým prádlem si důkladně umyjte ruce mýdlem a vodou.</w:t>
            </w:r>
          </w:p>
          <w:p w:rsidR="00B5570F" w:rsidRDefault="00B5570F">
            <w:pPr>
              <w:pStyle w:val="Nadpis1"/>
              <w:spacing w:before="120"/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9.   Odpady</w:t>
            </w:r>
          </w:p>
          <w:p w:rsidR="00B5570F" w:rsidRDefault="00B5570F">
            <w:pPr>
              <w:pStyle w:val="Nadpis1"/>
              <w:spacing w:before="120" w:after="100" w:afterAutospacing="1"/>
              <w:jc w:val="both"/>
              <w:outlineLvl w:val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Veškerý odpad (včetně roušek a kapesníků) od osoby v izolaci, by měl být uložen v plastovém pytli na odpadky a po naplnění musí být pevně zavázán. Plastový pytel by pak měl být vložen do druhého pytle a zavázán a až poté dán do kontejneru na odpad.</w:t>
            </w:r>
          </w:p>
        </w:tc>
      </w:tr>
    </w:tbl>
    <w:p w:rsidR="00121E33" w:rsidRDefault="00121E33"/>
    <w:sectPr w:rsidR="00121E33" w:rsidSect="00B55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E3D6A"/>
    <w:multiLevelType w:val="hybridMultilevel"/>
    <w:tmpl w:val="B678A35C"/>
    <w:lvl w:ilvl="0" w:tplc="849608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0F"/>
    <w:rsid w:val="00121E33"/>
    <w:rsid w:val="00B43416"/>
    <w:rsid w:val="00B5570F"/>
    <w:rsid w:val="00B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5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5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B5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557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5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5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B5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557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</dc:creator>
  <cp:lastModifiedBy>Matrikarka</cp:lastModifiedBy>
  <cp:revision>2</cp:revision>
  <cp:lastPrinted>2020-10-16T09:05:00Z</cp:lastPrinted>
  <dcterms:created xsi:type="dcterms:W3CDTF">2020-10-16T09:05:00Z</dcterms:created>
  <dcterms:modified xsi:type="dcterms:W3CDTF">2020-10-16T09:05:00Z</dcterms:modified>
</cp:coreProperties>
</file>